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 ณัชกฤช สำเนาคู่มือประชาชน 17/08/2015 14:30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โทร 044666114/ติดต่อด้วยตนเอง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ทายาทหรือผู้มีสิทธิยื่นเรื่องขอรับบำเหน็จตกทอดพร้อม</w:t>
              <w:tab/>
              <w:t xml:space="preserve"/>
              <w:br/>
              <w:t xml:space="preserve"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 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พิจารณาสั่งจ่ายเงินบำเหน็จตกทอด โดยองค์กรปกครองส่วนท้องถิ่นแจ้งและเบิกจ่ายเงิน</w:t>
              <w:tab/>
              <w:t xml:space="preserve">ดังกล่าวให้แก่ทายาทหรือผู้มีสิทธิฯ ต่อไป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15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แบบคำขอรับบำเหน็จตกทอดลูกจ้างประจำ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ใบมรณบัตร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อ.กระสัง จ.บุรีรัมย์ โทร 044666114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 แบบคำขอรับบำเหน็จตกทอดลูกจ้างประจำ</w:t>
              <w:tab/>
              <w:t xml:space="preserve"> 2. 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